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1" w:rsidRPr="00847F47" w:rsidRDefault="000712B1" w:rsidP="00847F47">
      <w:pPr>
        <w:spacing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47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0712B1" w:rsidRPr="00847F47" w:rsidRDefault="004B72D6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председателя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Гиагинского районного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ДОСААФ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Адыгея</w:t>
      </w:r>
    </w:p>
    <w:p w:rsidR="000712B1" w:rsidRPr="00847F47" w:rsidRDefault="004B72D6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З.М. Губжоков</w:t>
      </w:r>
    </w:p>
    <w:p w:rsidR="000712B1" w:rsidRPr="00847F47" w:rsidRDefault="004B72D6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«____»__________2023</w:t>
      </w:r>
      <w:r w:rsidR="000712B1" w:rsidRPr="00847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2B1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Pr="00847F47" w:rsidRDefault="00847F47" w:rsidP="00847F47">
      <w:pPr>
        <w:tabs>
          <w:tab w:val="left" w:pos="2805"/>
        </w:tabs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7F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847F47" w:rsidRPr="00847F47" w:rsidRDefault="00847F47" w:rsidP="00847F47">
      <w:pPr>
        <w:tabs>
          <w:tab w:val="left" w:pos="2805"/>
        </w:tabs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7F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ПРИЕМЕ, ОБУЧЕНИИ, ВЫПУСКЕ, ОТЧИСЛЕНИИ, ПЕРЕВОДЕ И ВОССТАНОВЛЕНИИ СЛУШАТЕЛЕЙ ОБРАЗОВАТЕЛЬНОГО ПОДРАЗДЕЛЕНИЯ ГИАГИНСКОГО РАЙОННОГО ОТДЕЛЕНИЯ ДОСААФ РОССИИ РЕСПУБЛИКИ АДЫГЕЯ</w:t>
      </w: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47" w:rsidRDefault="00847F47" w:rsidP="00847F47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Гиагинская</w:t>
      </w:r>
    </w:p>
    <w:p w:rsidR="00847F47" w:rsidRPr="00847F47" w:rsidRDefault="00C854DF" w:rsidP="00847F47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712B1" w:rsidRPr="00847F47" w:rsidRDefault="000712B1" w:rsidP="00847F47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847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Общие положения</w:t>
      </w:r>
    </w:p>
    <w:p w:rsidR="000712B1" w:rsidRPr="00C854DF" w:rsidRDefault="000712B1" w:rsidP="00C854DF">
      <w:pPr>
        <w:pStyle w:val="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в соответствии с Федеральным Законом от 29 декабря 2012г. № 273-ФЗ «Об образовании в Российской Федерации», Приказом Министерства образования и науки Российской Федерации от </w:t>
      </w:r>
      <w:r w:rsidR="00C854DF" w:rsidRPr="00C854DF">
        <w:rPr>
          <w:rFonts w:ascii="Times New Roman" w:hAnsi="Times New Roman" w:cs="Times New Roman"/>
          <w:sz w:val="28"/>
          <w:szCs w:val="28"/>
        </w:rPr>
        <w:t xml:space="preserve"> </w:t>
      </w:r>
      <w:r w:rsidR="00C854DF" w:rsidRPr="00C854DF">
        <w:rPr>
          <w:rFonts w:ascii="Times New Roman" w:hAnsi="Times New Roman" w:cs="Times New Roman"/>
          <w:color w:val="000000" w:themeColor="text1"/>
          <w:sz w:val="28"/>
          <w:szCs w:val="28"/>
        </w:rPr>
        <w:t>26 августа 2020 года N 438</w:t>
      </w:r>
      <w:r w:rsidR="00C854DF" w:rsidRPr="00C8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Порядка организации и осуществления образовательной деятельности по основным программам профессионального обучения», Приказом Министерства образования и науки Российской Федерации от </w:t>
      </w:r>
      <w:r w:rsidR="00C854DF" w:rsidRPr="00C854D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22 марта 2021 г. № 115 </w:t>
      </w:r>
      <w:r w:rsidR="00C854DF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общеобразовательным программам», иными нормативн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актами Российской Федерации,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документами по подготовке водителей, Уставом ДОСААФ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России,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регулирования отношений внутри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создания эффективной организации учебного процесса, рационального использования учебного времени, обеспечения высокого качества оказываемых услуг. </w:t>
      </w:r>
    </w:p>
    <w:p w:rsid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Положение является локальным актом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РА, утверждено приказом председа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теля, его действие распространяется на всех обучающихся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подразделении Гиагинского районного отделения ДОСААФ России РА</w:t>
      </w:r>
      <w:r w:rsidR="00847F47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2B1" w:rsidRPr="00847F47" w:rsidRDefault="000712B1" w:rsidP="00847F47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Порядок приема обучающихся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На обучение принимаются лица, имеющие установленный законодательством уровень образования и достигшие установленного законодательством возраста, не имеющие ограничений по медицинским показаниям. </w:t>
      </w:r>
    </w:p>
    <w:p w:rsidR="000712B1" w:rsidRPr="00847F47" w:rsidRDefault="000712B1" w:rsidP="0084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Прием на обучение осуществляется при представлении следующих документов: </w:t>
      </w:r>
    </w:p>
    <w:p w:rsidR="00847F47" w:rsidRDefault="000712B1" w:rsidP="0084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личного заявления установленного образца; </w:t>
      </w:r>
    </w:p>
    <w:p w:rsidR="00847F47" w:rsidRDefault="00847F47" w:rsidP="0084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оказания образовательных услуг;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личного паспорта;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одной фотографии размером 3 на 4 см;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документа об образовании (при поступлении на обучение по программам профессионального образования).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на обучение по программам подготовки водителей транспортных средств осуществляется при представлении следующих документов: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личного заявления установленного образца; </w:t>
      </w:r>
    </w:p>
    <w:p w:rsidR="000712B1" w:rsidRPr="00847F47" w:rsidRDefault="00847F47" w:rsidP="0084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оказания образовательных услуг;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копии личного паспорта; 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трех фотографий 3 на 4 см. </w:t>
      </w:r>
    </w:p>
    <w:p w:rsidR="000712B1" w:rsidRPr="00847F47" w:rsidRDefault="000712B1" w:rsidP="00847F47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При поступлении на обучение обучающегося знакомят: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 Уставом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настоящим Положением;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лицензией на право осуществления образовательной деятельности;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договором на оказание платных образовательных услуг;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условиями и порядком оплаты за оказываемые услуги;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Правилами внутреннего распорядка для обучающихся;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учебной программой и планами;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Положением о промежуточной аттестации;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Положением об итоговой аттестации; с Порядком приема экзаменов в ГИБДД (при приеме на обучение по программам подготовки водителей транспортных средств);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правилами техники безопасности, санитарно-гигиеническими и противопожарными мероприятиями и другими нормами по охране труда.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 </w:t>
      </w:r>
    </w:p>
    <w:p w:rsid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На каждого обучающегося заводится личное дело. По окончании обучения личное дело остается в архиве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РА.</w:t>
      </w:r>
    </w:p>
    <w:p w:rsidR="000712B1" w:rsidRPr="00847F47" w:rsidRDefault="000712B1" w:rsidP="00847F47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Организация учебного процесса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Обучение в </w:t>
      </w:r>
      <w:r w:rsid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</w:t>
      </w:r>
      <w:r w:rsidR="00847F47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 очной, очно-заочной или заочной формах обучения. Допускается сочетание различных форм получения образования. </w:t>
      </w:r>
    </w:p>
    <w:p w:rsidR="000712B1" w:rsidRPr="00847F47" w:rsidRDefault="009F5714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Образовательные программы могут реализовываться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самостоятельно, так и посредством сетевых форм их реализации. </w:t>
      </w:r>
    </w:p>
    <w:p w:rsidR="000712B1" w:rsidRPr="00847F47" w:rsidRDefault="009F5714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реализации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Для определения структуры профессиональных образовательных программ и трудоемкости их освоения может применяться система зачетных единиц.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  Обучение ведется на русском языке.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Учебные группы комплектуются численностью не более 30 человек, с учетом требований СанПиН (при обучении лиц, не достигших 18-ти летнего возраста – не более 25 человек).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Содержание и продолжительнос</w:t>
      </w:r>
      <w:r w:rsidR="0060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профессионального обучения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конкретной программой обучения, разрабатываемой и утверждаемой в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установленных квалификационных требований (профессиональных стандартов),соответствующих примерных (типовых) программ, утвержденных Министерством образования РФ, другими министерствами и ведомствами, иных государственных требований.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Сроки обучения устанавливаются исходя из объемов учебных планов и программ, режимов обучения, а также от количества групп обучающихся.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3.10. Учебная нагрузка при организации занятий в форме очного обучения не должна превышать 8 часов в день и 40 часов в неделю, а в форме очно-заочного (вечернего) обучения - соответственно 4 часов и 16 часов. Режим обучения может быть ежедневным и от 2 до 5 дней в неделю. </w:t>
      </w:r>
    </w:p>
    <w:p w:rsidR="003245AD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 Образовательная деятельность по основным программам профессионального обучения, программам </w:t>
      </w:r>
      <w:r w:rsidR="0060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организуется в соответствии с расписанием, которое определяется в  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</w:t>
      </w:r>
      <w:r w:rsidR="003245AD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 Обучение вождению проводится вне сетки учебного плана. В течение дня с одним обучаемым по вождению автомобиля, как правило, разрешается отрабатывать: на автотренажере - не более 2 часов, на учебном автомобиле не более 2 часов.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 Занятия в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</w:t>
      </w:r>
      <w:r w:rsidR="003245AD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на основании расписаний теоретических занятий и графиков учебного вождения.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Основными формами обучения являются теоретические, практические и контрольные занятия.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Продолжительн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учебного часа теоретического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 минут, а практических занятий 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 Режим теоретических занятий устанавливается следующий: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утренние – с 09:00-09:45 (5 минут перерыв), с 9:50 – 10:35 (10 минут перерыв), с 10:45 –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11:30. Вечерние: 17:00 – 17:45 (5 минут перерыв), 17:50 – 18:35 (10 минут перерыв), 18:45 – 19:30.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Теоретические занятия проводятся преподавателем, практические занятия проводятся мастером производственного обучения. 3.18. Теоретические и практические занятия проводятся в специально оборудованных классах (кабинетах) в составе учебной группы.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 Занятия по практическому вождению проводятся индивидуально с каждым обучаемым на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автодроме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учебных маршрутах, согласованных с органами ГИБДД. </w:t>
      </w:r>
    </w:p>
    <w:p w:rsidR="003245AD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 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автодроме) и прошедшие соответствующую проверку знаний Правил дорожного движения. Порядок проведения промежуточной аттестации изложен в Положении о промежуточной аттестации в </w:t>
      </w:r>
      <w:r w:rsidR="0032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 Гиагинского районного отделения ДОСААФ России РА.</w:t>
      </w:r>
    </w:p>
    <w:p w:rsidR="000712B1" w:rsidRPr="00847F47" w:rsidRDefault="003245AD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3.21. Основные программы профессионального обучения предусматривают проведение практики обучающихся. Организация проведения практики, предусмотренной образовательной программой, осуществляется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подразделении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договоров с организациями, осуществляющими деятельность по образовательной программе соответствующего профиля.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 </w:t>
      </w:r>
    </w:p>
    <w:p w:rsidR="000712B1" w:rsidRPr="00847F47" w:rsidRDefault="00DC0E29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Обучение может осуществляться по индивидуальному учебному плану, в том числе ускоренное обучение, в пределах осваиваемой программы профессионального обучения с применением систем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 При прохождении профессионального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 В случае пропусков занятий по уважительной причине (болезнь, командировка, служебные и личные обстоятельства и т.п.) обучающиеся изучают пропущенную тему самостоятельно и отрабатывают ее с преподавателем дополнительно, о чем делается запись в журнале теоретического обучения. Такие занятия проводятся бесплатно. </w:t>
      </w:r>
    </w:p>
    <w:p w:rsidR="000712B1" w:rsidRPr="00847F47" w:rsidRDefault="00DC0E29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за поддержание транспортных средств в </w:t>
      </w:r>
      <w:r w:rsidR="000712B1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 исправном состоянии и организацию предрейсового и послерейсового медицинского осмотра мастеров производственного обучения вождению и водителей. Проверка технического состояния автомобилей и проведение предрейсового и послерейсового медицинского осмотра отражается в путевом листе. </w:t>
      </w:r>
    </w:p>
    <w:p w:rsidR="000712B1" w:rsidRPr="00DC0E29" w:rsidRDefault="000712B1" w:rsidP="00DC0E2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и основания выпуска, отчисления, перевода и восстановления обучающихся</w:t>
      </w:r>
    </w:p>
    <w:p w:rsidR="00DC0E29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Лица, успешно прошедшие обучение, освоившие программу теоретического и практического обучения,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 Порядок проведения итоговой аттестации и оценки знаний обучающихся изложен в Положении об итоговой аттестации 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</w:t>
      </w:r>
      <w:r w:rsidR="00DC0E29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Допуск к итоговой аттестации, а также выпуск группы проводятся на основании соответствующих приказов.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По окончании обучения обучающемуся выдается свидетельство установленного образца. Свидетельство является документом строгой отчетности, его выдача осуществляется с регистрацией в специальном журнале учета. Свидетельство является бессрочным документом, в случае его утери 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="00DC0E29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 выдать дубликат с соответствующей пометкой в самом документе и журнале учета.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После выдачи свидетельства 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="00DC0E29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обучающимся подписывается акт оказанных платных образовательных услуг. </w:t>
      </w:r>
    </w:p>
    <w:p w:rsidR="00DC0E29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После выпуска группы личные дела учащихся, журнал теоретического обучения, графики выдачи вождения, индивидуальные карточки учета обучения вождению, протоколы экзаменов и зачетов по учебным предметам и протокол квалификационного экзамена, а также ксерокопии выданных свидетельств сдаются в архив. Сроки хранения указанных документов до утилизации изложены в Номенклатуре дел 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</w:t>
      </w:r>
      <w:r w:rsidR="00DC0E29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2B1" w:rsidRPr="00847F47" w:rsidRDefault="000712B1" w:rsidP="00DC0E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DC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="00DC0E29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отчислить из числа обучающихся на следующих основаниях: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личное заявление обучающегося;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нарушение правил внутреннего распорядка для обучающихся;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прекращение посещения занятий без уважительных причин (самовольное оставление учебной организации);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за неуспеваемость (по итогам промежуточной и итоговой аттестации);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не внесение платы за обучение.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 При отчислении обучающегося по личному заявлению, при наличии уважительной причины (перемена места жительства, призыв в армию, длительная командировка, длительное заболевание, невозможность освоить программу обучения в силу индивидуальных особенностей и т.п.) ему возвращается часть денег, оплаченных за обучение, пропорционально затраченному на обучение времени.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отчислении обучающегося за нарушение правил внутреннего распорядка для обучающихся, прекращение посещения занятий без уважительных причин (самовольное оставление учебной организации), за неуспеваемость, а так же не внесение платы за обучение проводится служебное расследование по указанным фактам. В таких случаях отчисление производится без возвращения части денег, оплаченных за обучение, пропорционально затраченному на обучение времени.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Отчисление учащихся проводится на основании соответствующих приказов. </w:t>
      </w:r>
    </w:p>
    <w:p w:rsidR="000712B1" w:rsidRPr="00847F47" w:rsidRDefault="000712B1" w:rsidP="00847F4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Отчисленные обучающиеся могут быть не позднее 1 года (программа профессионального обучения) и не позднее 3-х ме</w:t>
      </w:r>
      <w:r w:rsidR="0060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сяцев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восстановлены на обучение в </w:t>
      </w:r>
      <w:r w:rsidR="0090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="0090746F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личному заявлению при условии внесения платы за обучение пропорционально оставшемуся до конца обучения курсу. При этом возможен зачет учебных предметов, курсов, дисциплин (модулей), освоенных в процессе предшествующего обучения. </w:t>
      </w:r>
    </w:p>
    <w:p w:rsidR="000712B1" w:rsidRPr="00847F47" w:rsidRDefault="000712B1" w:rsidP="00C854D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</w:t>
      </w:r>
      <w:r w:rsidR="0090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подразделение Гиагинского районного отделения ДОСААФ России РА</w:t>
      </w:r>
      <w:r w:rsidR="0090746F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перевод обучающихся с их согласия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</w:t>
      </w:r>
      <w:r w:rsidR="0090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подразделения Гиагинского районного отделения ДОСААФ России РА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), аннулирования соответствующей лицензии, а также в случае приостановления действия лицензии полностью или в отношении отдельных напр</w:t>
      </w:r>
      <w:r w:rsidR="0060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авлений подготовки) в следующем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перевод обучающихся не зависит от периода (времени) учебного года;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-образовательное подразделение Гиагинского районного отделения ДОСААФ России РА</w:t>
      </w:r>
      <w:r w:rsidR="0090746F"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в принимающую организацию списочный состав обучающихся, копии учебных планов, соответствующие письменные заявления, личные дела обучающихся, договоры об оказании платных образовательных услуг с физическими и (или) юридическими лицами и денежные средства за обучение пропорционально оставшемуся до конца обучения курсу;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на основании представленных документов принимающая организация в течение пяти рабочих дней издает приказ о зачислении обучающихся в принимающую организацию в порядке перевода в связи с приостановлением действия лицензии полностью или в отношении отдельных уровней 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образования; принимающей организации заключаются договоры об оказании платных образовательных услуг с физическими и (или) юридическими лицами с сохранением стоимости обучения; </w:t>
      </w: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в принимающей организации на основании переданных личных дел на обучающихся формируются новые личные дела, включающие в том числе выписку из приказа о зачислении в порядке перевода, соответствующие письменные заявления, а также договор об оказании платных образовательных услуг с физическим и (или) юридическим лицом.</w:t>
      </w:r>
    </w:p>
    <w:p w:rsidR="000712B1" w:rsidRPr="00847F47" w:rsidRDefault="000712B1" w:rsidP="0090746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2B1" w:rsidRPr="00847F47" w:rsidRDefault="000712B1" w:rsidP="00847F47">
      <w:pPr>
        <w:spacing w:before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2FA8" w:rsidRPr="00847F47" w:rsidRDefault="009D2FA8" w:rsidP="00847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FA8" w:rsidRPr="0084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63"/>
    <w:rsid w:val="000712B1"/>
    <w:rsid w:val="00097D52"/>
    <w:rsid w:val="003245AD"/>
    <w:rsid w:val="004B72D6"/>
    <w:rsid w:val="0060641B"/>
    <w:rsid w:val="00847F47"/>
    <w:rsid w:val="0090746F"/>
    <w:rsid w:val="009D2FA8"/>
    <w:rsid w:val="009F5714"/>
    <w:rsid w:val="00AA1663"/>
    <w:rsid w:val="00C854DF"/>
    <w:rsid w:val="00DC0E29"/>
    <w:rsid w:val="00F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5CEE-252B-41AD-977A-186F3B69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5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6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5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80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97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2310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cp:lastPrinted>2023-05-19T07:00:00Z</cp:lastPrinted>
  <dcterms:created xsi:type="dcterms:W3CDTF">2023-05-19T09:35:00Z</dcterms:created>
  <dcterms:modified xsi:type="dcterms:W3CDTF">2023-05-19T09:35:00Z</dcterms:modified>
</cp:coreProperties>
</file>