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436C7">
      <w:pPr>
        <w:spacing w:after="134" w:line="240" w:lineRule="auto"/>
        <w:jc w:val="both"/>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УТВЕРЖДЕНО</w:t>
      </w:r>
    </w:p>
    <w:p w14:paraId="3A4D5DA9">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И.о. председателя Гиагинского районного отделения</w:t>
      </w:r>
    </w:p>
    <w:p w14:paraId="10D6A66A">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ДОСААФ Республики Адыгея</w:t>
      </w:r>
    </w:p>
    <w:p w14:paraId="3B665A2A">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З.М. Губжоков</w:t>
      </w:r>
    </w:p>
    <w:p w14:paraId="0C4C17F7">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r>
        <w:rPr>
          <w:rFonts w:hint="default" w:ascii="Times New Roman" w:hAnsi="Times New Roman" w:eastAsia="Times New Roman" w:cs="Times New Roman"/>
          <w:b/>
          <w:bCs/>
          <w:color w:val="000000"/>
          <w:sz w:val="28"/>
          <w:szCs w:val="28"/>
          <w:lang w:val="en-US" w:eastAsia="ru-RU"/>
        </w:rPr>
        <w:t xml:space="preserve">10» октября </w:t>
      </w:r>
      <w:bookmarkStart w:id="0" w:name="_GoBack"/>
      <w:bookmarkEnd w:id="0"/>
      <w:r>
        <w:rPr>
          <w:rFonts w:ascii="Times New Roman" w:hAnsi="Times New Roman" w:eastAsia="Times New Roman" w:cs="Times New Roman"/>
          <w:b/>
          <w:bCs/>
          <w:color w:val="000000"/>
          <w:sz w:val="28"/>
          <w:szCs w:val="28"/>
          <w:lang w:eastAsia="ru-RU"/>
        </w:rPr>
        <w:t>2023г.</w:t>
      </w:r>
    </w:p>
    <w:p w14:paraId="3813C05E">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712EECA">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47C503F">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ACB354A">
      <w:pPr>
        <w:spacing w:before="134" w:after="134" w:line="240" w:lineRule="auto"/>
        <w:jc w:val="both"/>
        <w:rPr>
          <w:rFonts w:ascii="Times New Roman" w:hAnsi="Times New Roman" w:eastAsia="Times New Roman" w:cs="Times New Roman"/>
          <w:color w:val="000000"/>
          <w:sz w:val="28"/>
          <w:szCs w:val="28"/>
          <w:lang w:eastAsia="ru-RU"/>
        </w:rPr>
      </w:pPr>
    </w:p>
    <w:p w14:paraId="59903242">
      <w:pPr>
        <w:spacing w:before="134" w:after="134" w:line="240" w:lineRule="auto"/>
        <w:jc w:val="both"/>
        <w:rPr>
          <w:rFonts w:ascii="Times New Roman" w:hAnsi="Times New Roman" w:eastAsia="Times New Roman" w:cs="Times New Roman"/>
          <w:color w:val="000000"/>
          <w:sz w:val="28"/>
          <w:szCs w:val="28"/>
          <w:lang w:eastAsia="ru-RU"/>
        </w:rPr>
      </w:pPr>
    </w:p>
    <w:p w14:paraId="1D9C0DB9">
      <w:pPr>
        <w:spacing w:before="134" w:after="134" w:line="240" w:lineRule="auto"/>
        <w:jc w:val="both"/>
        <w:rPr>
          <w:rFonts w:ascii="Times New Roman" w:hAnsi="Times New Roman" w:eastAsia="Times New Roman" w:cs="Times New Roman"/>
          <w:color w:val="000000"/>
          <w:sz w:val="28"/>
          <w:szCs w:val="28"/>
          <w:lang w:eastAsia="ru-RU"/>
        </w:rPr>
      </w:pPr>
    </w:p>
    <w:p w14:paraId="31102219">
      <w:pPr>
        <w:spacing w:before="134" w:after="134" w:line="240" w:lineRule="auto"/>
        <w:jc w:val="both"/>
        <w:rPr>
          <w:rFonts w:ascii="Times New Roman" w:hAnsi="Times New Roman" w:eastAsia="Times New Roman" w:cs="Times New Roman"/>
          <w:color w:val="000000"/>
          <w:sz w:val="28"/>
          <w:szCs w:val="28"/>
          <w:lang w:eastAsia="ru-RU"/>
        </w:rPr>
      </w:pPr>
    </w:p>
    <w:p w14:paraId="1A1463D2">
      <w:pPr>
        <w:spacing w:before="134" w:after="134" w:line="240" w:lineRule="auto"/>
        <w:jc w:val="both"/>
        <w:rPr>
          <w:rFonts w:ascii="Times New Roman" w:hAnsi="Times New Roman" w:eastAsia="Times New Roman" w:cs="Times New Roman"/>
          <w:color w:val="000000"/>
          <w:sz w:val="28"/>
          <w:szCs w:val="28"/>
          <w:lang w:eastAsia="ru-RU"/>
        </w:rPr>
      </w:pPr>
    </w:p>
    <w:p w14:paraId="3BF3A7F4">
      <w:pPr>
        <w:tabs>
          <w:tab w:val="left" w:pos="2805"/>
        </w:tabs>
        <w:spacing w:before="134" w:after="134" w:line="240" w:lineRule="auto"/>
        <w:jc w:val="center"/>
        <w:rPr>
          <w:rFonts w:ascii="Times New Roman" w:hAnsi="Times New Roman" w:eastAsia="Times New Roman" w:cs="Times New Roman"/>
          <w:b/>
          <w:color w:val="000000"/>
          <w:sz w:val="32"/>
          <w:szCs w:val="32"/>
          <w:lang w:eastAsia="ru-RU"/>
        </w:rPr>
      </w:pPr>
      <w:r>
        <w:rPr>
          <w:rFonts w:ascii="Times New Roman" w:hAnsi="Times New Roman" w:eastAsia="Times New Roman" w:cs="Times New Roman"/>
          <w:b/>
          <w:color w:val="000000"/>
          <w:sz w:val="32"/>
          <w:szCs w:val="32"/>
          <w:lang w:eastAsia="ru-RU"/>
        </w:rPr>
        <w:t>ПОЛОЖЕНИЕ</w:t>
      </w:r>
    </w:p>
    <w:p w14:paraId="70CF1BEF">
      <w:pPr>
        <w:tabs>
          <w:tab w:val="left" w:pos="2805"/>
        </w:tabs>
        <w:spacing w:before="134" w:after="134" w:line="240" w:lineRule="auto"/>
        <w:jc w:val="center"/>
        <w:rPr>
          <w:rFonts w:ascii="Times New Roman" w:hAnsi="Times New Roman" w:eastAsia="Times New Roman" w:cs="Times New Roman"/>
          <w:b/>
          <w:color w:val="000000"/>
          <w:sz w:val="32"/>
          <w:szCs w:val="32"/>
          <w:lang w:eastAsia="ru-RU"/>
        </w:rPr>
      </w:pPr>
      <w:r>
        <w:rPr>
          <w:rFonts w:ascii="Times New Roman" w:hAnsi="Times New Roman" w:eastAsia="Times New Roman" w:cs="Times New Roman"/>
          <w:b/>
          <w:color w:val="000000"/>
          <w:sz w:val="32"/>
          <w:szCs w:val="32"/>
          <w:lang w:eastAsia="ru-RU"/>
        </w:rPr>
        <w:t>О ПРИЕМЕ, ОБУЧЕНИИ, ВЫПУСКЕ, ОТЧИСЛЕНИИ, ПЕРЕВОДЕ И ВОССТАНОВЛЕНИИ СЛУШАТЕЛЕЙ ОБРАЗОВАТЕЛЬНОГО ПОДРАЗДЕЛЕНИЯ ГИАГИНСКОГО РАЙОННОГО ОТДЕЛЕНИЯ ДОСААФ РОССИИ РЕСПУБЛИКИ АДЫГЕЯ</w:t>
      </w:r>
    </w:p>
    <w:p w14:paraId="3C6C2A79">
      <w:pPr>
        <w:spacing w:before="134" w:after="134" w:line="240" w:lineRule="auto"/>
        <w:jc w:val="both"/>
        <w:rPr>
          <w:rFonts w:ascii="Times New Roman" w:hAnsi="Times New Roman" w:eastAsia="Times New Roman" w:cs="Times New Roman"/>
          <w:color w:val="000000"/>
          <w:sz w:val="28"/>
          <w:szCs w:val="28"/>
          <w:lang w:eastAsia="ru-RU"/>
        </w:rPr>
      </w:pPr>
    </w:p>
    <w:p w14:paraId="1F61A9C5">
      <w:pPr>
        <w:spacing w:before="134" w:after="134" w:line="240" w:lineRule="auto"/>
        <w:jc w:val="both"/>
        <w:rPr>
          <w:rFonts w:ascii="Times New Roman" w:hAnsi="Times New Roman" w:eastAsia="Times New Roman" w:cs="Times New Roman"/>
          <w:color w:val="000000"/>
          <w:sz w:val="28"/>
          <w:szCs w:val="28"/>
          <w:lang w:eastAsia="ru-RU"/>
        </w:rPr>
      </w:pPr>
    </w:p>
    <w:p w14:paraId="754C1F4D">
      <w:pPr>
        <w:spacing w:before="134" w:after="134" w:line="240" w:lineRule="auto"/>
        <w:jc w:val="both"/>
        <w:rPr>
          <w:rFonts w:ascii="Times New Roman" w:hAnsi="Times New Roman" w:eastAsia="Times New Roman" w:cs="Times New Roman"/>
          <w:color w:val="000000"/>
          <w:sz w:val="28"/>
          <w:szCs w:val="28"/>
          <w:lang w:eastAsia="ru-RU"/>
        </w:rPr>
      </w:pPr>
    </w:p>
    <w:p w14:paraId="5D73F769">
      <w:pPr>
        <w:spacing w:before="134" w:after="134" w:line="240" w:lineRule="auto"/>
        <w:jc w:val="both"/>
        <w:rPr>
          <w:rFonts w:ascii="Times New Roman" w:hAnsi="Times New Roman" w:eastAsia="Times New Roman" w:cs="Times New Roman"/>
          <w:color w:val="000000"/>
          <w:sz w:val="28"/>
          <w:szCs w:val="28"/>
          <w:lang w:eastAsia="ru-RU"/>
        </w:rPr>
      </w:pPr>
    </w:p>
    <w:p w14:paraId="1446C12E">
      <w:pPr>
        <w:spacing w:before="134" w:after="134" w:line="240" w:lineRule="auto"/>
        <w:jc w:val="both"/>
        <w:rPr>
          <w:rFonts w:ascii="Times New Roman" w:hAnsi="Times New Roman" w:eastAsia="Times New Roman" w:cs="Times New Roman"/>
          <w:color w:val="000000"/>
          <w:sz w:val="28"/>
          <w:szCs w:val="28"/>
          <w:lang w:eastAsia="ru-RU"/>
        </w:rPr>
      </w:pPr>
    </w:p>
    <w:p w14:paraId="5F3BA884">
      <w:pPr>
        <w:spacing w:before="134" w:after="134" w:line="240" w:lineRule="auto"/>
        <w:jc w:val="both"/>
        <w:rPr>
          <w:rFonts w:ascii="Times New Roman" w:hAnsi="Times New Roman" w:eastAsia="Times New Roman" w:cs="Times New Roman"/>
          <w:color w:val="000000"/>
          <w:sz w:val="28"/>
          <w:szCs w:val="28"/>
          <w:lang w:eastAsia="ru-RU"/>
        </w:rPr>
      </w:pPr>
    </w:p>
    <w:p w14:paraId="127BBC59">
      <w:pPr>
        <w:spacing w:before="134" w:after="134" w:line="240" w:lineRule="auto"/>
        <w:jc w:val="both"/>
        <w:rPr>
          <w:rFonts w:ascii="Times New Roman" w:hAnsi="Times New Roman" w:eastAsia="Times New Roman" w:cs="Times New Roman"/>
          <w:color w:val="000000"/>
          <w:sz w:val="28"/>
          <w:szCs w:val="28"/>
          <w:lang w:eastAsia="ru-RU"/>
        </w:rPr>
      </w:pPr>
    </w:p>
    <w:p w14:paraId="1573A419">
      <w:pPr>
        <w:spacing w:before="134" w:after="134" w:line="240" w:lineRule="auto"/>
        <w:jc w:val="both"/>
        <w:rPr>
          <w:rFonts w:ascii="Times New Roman" w:hAnsi="Times New Roman" w:eastAsia="Times New Roman" w:cs="Times New Roman"/>
          <w:color w:val="000000"/>
          <w:sz w:val="28"/>
          <w:szCs w:val="28"/>
          <w:lang w:eastAsia="ru-RU"/>
        </w:rPr>
      </w:pPr>
    </w:p>
    <w:p w14:paraId="122C4475">
      <w:pPr>
        <w:spacing w:before="134" w:after="134" w:line="240" w:lineRule="auto"/>
        <w:jc w:val="both"/>
        <w:rPr>
          <w:rFonts w:ascii="Times New Roman" w:hAnsi="Times New Roman" w:eastAsia="Times New Roman" w:cs="Times New Roman"/>
          <w:color w:val="000000"/>
          <w:sz w:val="28"/>
          <w:szCs w:val="28"/>
          <w:lang w:eastAsia="ru-RU"/>
        </w:rPr>
      </w:pPr>
    </w:p>
    <w:p w14:paraId="47580186">
      <w:pPr>
        <w:spacing w:before="134" w:after="134" w:line="240" w:lineRule="auto"/>
        <w:jc w:val="both"/>
        <w:rPr>
          <w:rFonts w:ascii="Times New Roman" w:hAnsi="Times New Roman" w:eastAsia="Times New Roman" w:cs="Times New Roman"/>
          <w:color w:val="000000"/>
          <w:sz w:val="28"/>
          <w:szCs w:val="28"/>
          <w:lang w:eastAsia="ru-RU"/>
        </w:rPr>
      </w:pPr>
    </w:p>
    <w:p w14:paraId="1E3CDCF4">
      <w:pPr>
        <w:spacing w:before="134" w:after="134" w:line="240" w:lineRule="auto"/>
        <w:jc w:val="both"/>
        <w:rPr>
          <w:rFonts w:ascii="Times New Roman" w:hAnsi="Times New Roman" w:eastAsia="Times New Roman" w:cs="Times New Roman"/>
          <w:color w:val="000000"/>
          <w:sz w:val="28"/>
          <w:szCs w:val="28"/>
          <w:lang w:eastAsia="ru-RU"/>
        </w:rPr>
      </w:pPr>
    </w:p>
    <w:p w14:paraId="55188E29">
      <w:pPr>
        <w:spacing w:before="134" w:after="134"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Ст. Гиагинская</w:t>
      </w:r>
    </w:p>
    <w:p w14:paraId="17EE0C2B">
      <w:pPr>
        <w:spacing w:before="134" w:after="134"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2023 год</w:t>
      </w:r>
    </w:p>
    <w:p w14:paraId="6E39D27D">
      <w:pPr>
        <w:spacing w:before="134" w:after="134" w:line="240" w:lineRule="auto"/>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color w:val="000000"/>
          <w:sz w:val="28"/>
          <w:szCs w:val="28"/>
          <w:lang w:eastAsia="ru-RU"/>
        </w:rPr>
        <w:t>1</w:t>
      </w:r>
      <w:r>
        <w:rPr>
          <w:rFonts w:ascii="Times New Roman" w:hAnsi="Times New Roman" w:eastAsia="Times New Roman" w:cs="Times New Roman"/>
          <w:b/>
          <w:color w:val="000000"/>
          <w:sz w:val="28"/>
          <w:szCs w:val="28"/>
          <w:lang w:eastAsia="ru-RU"/>
        </w:rPr>
        <w:t>. Общие положения</w:t>
      </w:r>
    </w:p>
    <w:p w14:paraId="1C5FD31D">
      <w:pPr>
        <w:pStyle w:val="2"/>
        <w:jc w:val="both"/>
        <w:rPr>
          <w:rFonts w:ascii="Times New Roman" w:hAnsi="Times New Roman" w:eastAsia="Times New Roman" w:cs="Times New Roman"/>
          <w:bCs/>
          <w:color w:val="auto"/>
          <w:sz w:val="28"/>
          <w:szCs w:val="28"/>
          <w:lang w:eastAsia="ru-RU"/>
        </w:rPr>
      </w:pPr>
      <w:r>
        <w:rPr>
          <w:rFonts w:ascii="Times New Roman" w:hAnsi="Times New Roman" w:eastAsia="Times New Roman" w:cs="Times New Roman"/>
          <w:color w:val="000000"/>
          <w:sz w:val="28"/>
          <w:szCs w:val="28"/>
          <w:lang w:eastAsia="ru-RU"/>
        </w:rPr>
        <w:t xml:space="preserve">1.1. Настоящее Положение разработано в соответствии с Федеральным Законом от 29 декабря 2012г. № 273-ФЗ «Об образовании в Российской Федерации», Приказом Министерства образования и науки Российской Федерации от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14:textFill>
            <w14:solidFill>
              <w14:schemeClr w14:val="tx1"/>
            </w14:solidFill>
          </w14:textFill>
        </w:rPr>
        <w:t>26 августа 2020 года N 438</w:t>
      </w: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 «Об </w:t>
      </w:r>
      <w:r>
        <w:rPr>
          <w:rFonts w:ascii="Times New Roman" w:hAnsi="Times New Roman" w:eastAsia="Times New Roman" w:cs="Times New Roman"/>
          <w:color w:val="000000"/>
          <w:sz w:val="28"/>
          <w:szCs w:val="28"/>
          <w:lang w:eastAsia="ru-RU"/>
        </w:rPr>
        <w:t xml:space="preserve">утверждении Порядка организации и осуществления образовательной деятельности по основным программам профессионального обучения», Приказом Министерства образования и науки Российской Федерации от </w:t>
      </w:r>
      <w:r>
        <w:rPr>
          <w:rFonts w:ascii="Times New Roman" w:hAnsi="Times New Roman" w:eastAsia="Times New Roman" w:cs="Times New Roman"/>
          <w:bCs/>
          <w:color w:val="auto"/>
          <w:sz w:val="28"/>
          <w:szCs w:val="28"/>
          <w:lang w:eastAsia="ru-RU"/>
        </w:rPr>
        <w:t xml:space="preserve">22 марта 2021 г. № 115 </w:t>
      </w:r>
      <w:r>
        <w:rPr>
          <w:rFonts w:ascii="Times New Roman" w:hAnsi="Times New Roman" w:eastAsia="Times New Roman" w:cs="Times New Roman"/>
          <w:color w:val="000000"/>
          <w:sz w:val="28"/>
          <w:szCs w:val="28"/>
          <w:lang w:eastAsia="ru-RU"/>
        </w:rPr>
        <w:t xml:space="preserve"> «Об утверждении Порядка организации и осуществления образовательной деятельности по общеобразовательным программам», иными нормативными актами Российской Федерации, нормативными документами по подготовке водителей, Уставом ДОСААФ России,  с целью регулирования отношений внутри образовательного подразделения Гиагинского районного отделения ДОСААФ России РА, создания эффективной организации учебного процесса, рационального использования учебного времени, обеспечения высокого качества оказываемых услуг. </w:t>
      </w:r>
    </w:p>
    <w:p w14:paraId="66D3A540">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1.2. Положение является локальным актом образовательного подразделения Гиагинского районного отделения ДОСААФ России РА, утверждено приказом председателя, его действие распространяется на всех обучающихся в образовательном подразделении Гиагинского районного отделения ДОСААФ России РА </w:t>
      </w:r>
    </w:p>
    <w:p w14:paraId="6D9BBC48">
      <w:pPr>
        <w:spacing w:before="134" w:after="134" w:line="240" w:lineRule="auto"/>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2. Порядок приема обучающихся</w:t>
      </w:r>
    </w:p>
    <w:p w14:paraId="4D940936">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2.1. На обучение принимаются лица, имеющие установленный законодательством уровень образования и достигшие установленного законодательством возраста, не имеющие ограничений по медицинским показаниям. </w:t>
      </w:r>
    </w:p>
    <w:p w14:paraId="16BC56B6">
      <w:pPr>
        <w:spacing w:after="0"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2.2. Прием на обучение осуществляется при представлении следующих документов: </w:t>
      </w:r>
    </w:p>
    <w:p w14:paraId="39E91FEB">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личного заявления установленного образца; </w:t>
      </w:r>
    </w:p>
    <w:p w14:paraId="0DC1CBA9">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договор оказания образовательных услуг;</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копии личного паспорта;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одной фотографии размером 3 на 4 см;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копии документа об образовании (при поступлении на обучение по программам профессионального образования).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Прием на обучение по программам подготовки водителей транспортных средств осуществляется при представлении следующих документов: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личного заявления установленного образца; </w:t>
      </w:r>
    </w:p>
    <w:p w14:paraId="38E0F205">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договор оказания образовательных услуг;</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медицинской справки установленного образца, подтверждающей возможность управления транспортным средством соответствующей категории (с годным сроком действия);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копии личного паспорта;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трех фотографий 3 на 4 см. </w:t>
      </w:r>
    </w:p>
    <w:p w14:paraId="49E0BE81">
      <w:pPr>
        <w:spacing w:before="134" w:after="134"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2.3. При поступлении на обучение обучающегося знакомят: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Уставом образовательного подразделения Гиагинского районного отделения ДОСААФ России РА);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настоящим Положением;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лицензией на право осуществления образовательной деятельности;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договором на оказание платных образовательных услуг;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условиями и порядком оплаты за оказываемые услуги;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Правилами внутреннего распорядка для обучающихся;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учебной программой и планами;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Положением о промежуточной аттестации;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Положением об итоговой аттестации; с Порядком приема экзаменов в ГИБДД (при приеме на обучение по программам подготовки водителей транспортных средств);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с правилами техники безопасности, санитарно-гигиеническими и противопожарными мероприятиями и другими нормами по охране труда. </w:t>
      </w:r>
    </w:p>
    <w:p w14:paraId="38FFF9EC">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2.4. После заключения договора, получения согласия на обработку и использование персональных данных обучающихся, а также внесения предварительной оплаты за обучение, издается приказ о зачислении на обучение. </w:t>
      </w:r>
    </w:p>
    <w:p w14:paraId="7F75689A">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2.5. На каждого обучающегося заводится личное дело. По окончании обучения личное дело остается в архиве образовательного подразделения Гиагинского районного отделения ДОСААФ России РА.</w:t>
      </w:r>
    </w:p>
    <w:p w14:paraId="6FA8FD8C">
      <w:pPr>
        <w:spacing w:before="134" w:after="134" w:line="240" w:lineRule="auto"/>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3. Организация учебного процесса</w:t>
      </w:r>
    </w:p>
    <w:p w14:paraId="19DF282D">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 Обучение в образовательном подразделении Гиагинского районного отделения ДОСААФ России РА может осуществляться в очной, очно-заочной или заочной формах обучения. Допускается сочетание различных форм получения образования. </w:t>
      </w:r>
    </w:p>
    <w:p w14:paraId="06412C42">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3.2. Образовательные программы могут реализовываться в образовательном подразделении Гиагинского районного отделения ДОСААФ России РА как самостоятельно, так и посредством сетевых форм их реализации. </w:t>
      </w:r>
    </w:p>
    <w:p w14:paraId="4864C6B1">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3.3. При реализации образовательных программ образовательное подразделение Гиагинского районного отделения ДОСААФ России РА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w:t>
      </w:r>
    </w:p>
    <w:p w14:paraId="7BF973E1">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3.5. Для определения структуры профессиональных образовательных программ и трудоемкости их освоения может применяться система зачетных единиц. </w:t>
      </w:r>
    </w:p>
    <w:p w14:paraId="0A3EDD5A">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3.6.  Обучение ведется на русском языке. </w:t>
      </w:r>
    </w:p>
    <w:p w14:paraId="78933594">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3.7. Учебные группы комплектуются численностью не более 30 человек, с учетом требований СанПиН (при обучении лиц, не достигших 18-ти летнего возраста – не более 25 человек). </w:t>
      </w:r>
    </w:p>
    <w:p w14:paraId="4EA61050">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3.8. Содержание и продолжительность профессионального обучения  определяются конкретной программой обучения, разрабатываемой и утверждаемой в образовательном подразделении Гиагинского районного отделения ДОСААФ России РА на основе установленных квалификационных требований (профессиональных стандартов),соответствующих примерных (типовых) программ, утвержденных Министерством образования РФ, другими министерствами и ведомствами, иных государственных требований. </w:t>
      </w:r>
    </w:p>
    <w:p w14:paraId="4B107A81">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3.9. Сроки обучения устанавливаются исходя из объемов учебных планов и программ, режимов обучения, а также от количества групп обучающихся. </w:t>
      </w:r>
    </w:p>
    <w:p w14:paraId="33DEC3CC">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3.10. Учебная нагрузка при организации занятий в форме очного обучения не должна превышать 8 часов в день и 40 часов в неделю, а в форме очно-заочного (вечернего) обучения - соответственно 4 часов и 16 часов. Режим обучения может быть ежедневным и от 2 до 5 дней в неделю. </w:t>
      </w:r>
    </w:p>
    <w:p w14:paraId="5FB2613B">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3.11. Образовательная деятельность по основным программам профессионального обучения, программам профессионального образования организуется в соответствии с расписанием, которое определяется в  образовательном подразделении Гиагинского районного отделения ДОСААФ России РА </w:t>
      </w:r>
    </w:p>
    <w:p w14:paraId="425FB2B0">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3.12. Обучение вождению проводится вне сетки учебного плана. В течение дня с одним обучаемым по вождению автомобиля, как правило, разрешается отрабатывать: на автотренажере - не более 2 часов, на учебном автомобиле не более 2 часов. </w:t>
      </w:r>
    </w:p>
    <w:p w14:paraId="480F643C">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3.13. Занятия в образовательном подразделении Гиагинского районного отделения ДОСААФ России РА проводятся на основании расписаний теоретических занятий и графиков учебного вождения. </w:t>
      </w:r>
    </w:p>
    <w:p w14:paraId="492AC912">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3.14. Основными формами обучения являются теоретические, практические и контрольные занятия. </w:t>
      </w:r>
    </w:p>
    <w:p w14:paraId="600A4F89">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3.15. Продолжительность учебного часа теоретического - 45 минут, а практических занятий по вождению автомобиля - 60 минут, включая время на ежедневный контрольный осмотр автомобиля, постановку задач, подведение итогов, оформление документации и смену обучаемых. Допускается спаривание занятий продолжительностью не более двух академических часов. Перерыв между занятиями не менее 5 минут, между спаренными занятиями не менее 10 минут. </w:t>
      </w:r>
    </w:p>
    <w:p w14:paraId="2DC6B239">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3.16. Режим теоретических занятий устанавливается следующий: утренние – с 09:00-09:45 (5 минут перерыв), с 9:50 – 10:35 (10 минут перерыв), с 10:45 – 11:30. Вечерние: 17:00 – 17:45 (5 минут перерыв), 17:50 – 18:35 (10 минут перерыв), 18:45 – 19:30.</w:t>
      </w:r>
    </w:p>
    <w:p w14:paraId="6D0A897F">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3.17. Теоретические занятия проводятся преподавателем, практические занятия проводятся мастером производственного обучения. 3.18. Теоретические и практические занятия проводятся в специально оборудованных классах (кабинетах) в составе учебной группы. </w:t>
      </w:r>
    </w:p>
    <w:p w14:paraId="2CDDC4F4">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3.19. Занятия по практическому вождению проводятся индивидуально с каждым обучаемым на автодроме и учебных маршрутах, согласованных с органами ГИБДД. </w:t>
      </w:r>
    </w:p>
    <w:p w14:paraId="3BC6EB11">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3.20. К практическому вождению, связанному с выездом на дороги общего пользования, допускаются лица, имеющие достаточные навыки первоначального управления транспортным средством (на автодроме) и прошедшие соответствующую проверку знаний Правил дорожного движения. Порядок проведения промежуточной аттестации изложен в Положении о промежуточной аттестации в образовательном подразделении Гиагинского районного отделения ДОСААФ России РА.</w:t>
      </w:r>
    </w:p>
    <w:p w14:paraId="5B1697EE">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 3.21. Основные программы профессионального обучения предусматривают проведение практики обучающихся. Организация проведения практики, предусмотренной образовательной программой, осуществляется в образовательном подразделении  Гиагинского районного отделения ДОСААФ России РА на основе договоров с организациями, осуществляющими деятельность по образовательной программе соответствующего профиля. Профессиональное обучение на производстве осуществляется в пределах рабочего времени обучающегося по соответствующим основным программам профессионального обучения. </w:t>
      </w:r>
    </w:p>
    <w:p w14:paraId="33B1A742">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3.22. Обучение может осуществляться по индивидуальному учебному плану, в том числе ускоренное обучение, в пределах осваиваемой программы профессионального обучения с применением систем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 При прохождении профессионального обучения в соответствии с индивидуальным учебным планом его продолжительность может быть изменена с учетом особенностей и образовательных потребностей конкретного обучающегося. </w:t>
      </w:r>
    </w:p>
    <w:p w14:paraId="51BD4612">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3.24. В случае пропусков занятий по уважительной причине (болезнь, командировка, служебные и личные обстоятельства и т.п.) обучающиеся изучают пропущенную тему самостоятельно и отрабатывают ее с преподавателем дополнительно, о чем делается запись в журнале теоретического обучения. Такие занятия проводятся бесплатно. </w:t>
      </w:r>
    </w:p>
    <w:p w14:paraId="0D07AA20">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3.25. Образовательное подразделение Гиагинского районного отделения ДОСААФ России РА отвечает за поддержание транспортных средств в технически исправном состоянии и организацию предрейсового и послерейсового медицинского осмотра мастеров производственного обучения вождению и водителей. Проверка технического состояния автомобилей и проведение предрейсового и послерейсового медицинского осмотра отражается в путевом листе. </w:t>
      </w:r>
    </w:p>
    <w:p w14:paraId="5713232E">
      <w:pPr>
        <w:spacing w:before="134" w:after="134" w:line="240" w:lineRule="auto"/>
        <w:jc w:val="center"/>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4. Порядок и основания выпуска, отчисления, перевода и восстановления обучающихся</w:t>
      </w:r>
    </w:p>
    <w:p w14:paraId="4BC61D10">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4.1. Лица, успешно прошедшие обучение, освоившие программу теоретического и практического обучения, отработавшие все пропуски занятий по уважительной причине (о чем сделана запись в журналах теоретического обучения), допускаются к итоговой аттестации. Порядок проведения итоговой аттестации и оценки знаний обучающихся изложен в Положении об итоговой аттестации образовательного подразделения Гиагинского районного отделения ДОСААФ России РА </w:t>
      </w:r>
    </w:p>
    <w:p w14:paraId="3DCB6448">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4.2. Допуск к итоговой аттестации, а также выпуск группы проводятся на основании соответствующих приказов. </w:t>
      </w:r>
    </w:p>
    <w:p w14:paraId="7E4B0F64">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4.3. По окончании обучения обучающемуся выдается свидетельство установленного образца. Свидетельство является документом строгой отчетности, его выдача осуществляется с регистрацией в специальном журнале учета. Свидетельство является бессрочным документом, в случае его утери образовательное подразделение Гиагинского районного отделения ДОСААФ России РА обязано выдать дубликат с соответствующей пометкой в самом документе и журнале учета. </w:t>
      </w:r>
    </w:p>
    <w:p w14:paraId="666B90A4">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4.4. После выдачи свидетельства образовательное подразделение Гиагинского районного отделения ДОСААФ России РА и обучающимся подписывается акт оказанных платных образовательных услуг. </w:t>
      </w:r>
    </w:p>
    <w:p w14:paraId="77607599">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4.5. После выпуска группы личные дела учащихся, журнал теоретического обучения, графики выдачи вождения, индивидуальные карточки учета обучения вождению, протоколы экзаменов и зачетов по учебным предметам и протокол квалификационного экзамена, а также ксерокопии выданных свидетельств сдаются в архив. Сроки хранения указанных документов до утилизации изложены в Номенклатуре дел образовательного подразделения Гиагинского районного отделения ДОСААФ России РА </w:t>
      </w:r>
    </w:p>
    <w:p w14:paraId="5A6B10AA">
      <w:pPr>
        <w:spacing w:before="134" w:after="134"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4.6. Образовательное подразделение Гиагинского районного отделения ДОСААФ России РА вправе отчислить из числа обучающихся на следующих основаниях: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личное заявление обучающегося;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нарушение правил внутреннего распорядка для обучающихся;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прекращение посещения занятий без уважительных причин (самовольное оставление учебной организации);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за неуспеваемость (по итогам промежуточной и итоговой аттестации);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не внесение платы за обучение. </w:t>
      </w:r>
    </w:p>
    <w:p w14:paraId="070AAA27">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4.7. При отчислении обучающегося по личному заявлению, при наличии уважительной причины (перемена места жительства, призыв в армию, длительная командировка, длительное заболевание, невозможность освоить программу обучения в силу индивидуальных особенностей и т.п.) ему возвращается часть денег, оплаченных за обучение, пропорционально затраченному на обучение времени. </w:t>
      </w:r>
    </w:p>
    <w:p w14:paraId="24994B60">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4.8. При отчислении обучающегося за нарушение правил внутреннего распорядка для обучающихся, прекращение посещения занятий без уважительных причин (самовольное оставление учебной организации), за неуспеваемость, а так же не внесение платы за обучение проводится служебное расследование по указанным фактам. В таких случаях отчисление производится без возвращения части денег, оплаченных за обучение, пропорционально затраченному на обучение времени. </w:t>
      </w:r>
    </w:p>
    <w:p w14:paraId="25A2053D">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4.9. Отчисление учащихся проводится на основании соответствующих приказов. </w:t>
      </w:r>
    </w:p>
    <w:p w14:paraId="45985484">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4.10. Отчисленные обучающиеся могут быть не позднее 1 года (программа профессионального обучения) и не позднее 3-х месяцев  восстановлены на обучение в образовательное подразделение Гиагинского районного отделения ДОСААФ России РА по личному заявлению при условии внесения платы за обучение пропорционально оставшемуся до конца обучения курсу. При этом возможен зачет учебных предметов, курсов, дисциплин (модулей), освоенных в процессе предшествующего обучения. </w:t>
      </w:r>
    </w:p>
    <w:p w14:paraId="4BE58A0B">
      <w:pPr>
        <w:spacing w:before="134" w:after="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4.11. Образовательное подразделение Гиагинского районного отделения ДОСААФ России РА обеспечивает перевод обучающихся с их согласия в другие организации, осуществляющие образовательную деятельность по образовательным программам соответствующих уровня и направленности (в случае прекращения деятельности образовательного подразделения Гиагинского районного отделения ДОСААФ России РА ), аннулирования соответствующей лицензии, а также в случае приостановления действия лицензии полностью или в отношении отдельных направлений подготовки) в следующем порядке: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перевод обучающихся не зависит от периода (времени) учебного года;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-образовательное подразделение Гиагинского районного отделения ДОСААФ России РА передает в принимающую организацию списочный состав обучающихся, копии учебных планов, соответствующие письменные заявления, личные дела обучающихся, договоры об оказании платных образовательных услуг с физическими и (или) юридическими лицами и денежные средства за обучение пропорционально оставшемуся до конца обучения курсу;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на основании представленных документов принимающая организация в течение пяти рабочих дней издает приказ о зачислении обучающихся в принимающую организацию в порядке перевода в связи с приостановлением действия лицензии полностью или в отношении отдельных уровней образования; принимающей организации заключаются договоры об оказании платных образовательных услуг с физическими и (или) юридическими лицами с сохранением стоимости обучения;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szCs w:val="28"/>
          <w:lang w:eastAsia="ru-RU"/>
        </w:rPr>
        <w:t>- в принимающей организации на основании переданных личных дел на обучающихся формируются новые личные дела, включающие в том числе выписку из приказа о зачислении в порядке перевода, соответствующие письменные заявления, а также договор об оказании платных образовательных услуг с физическим и (или) юридическим лицом.</w:t>
      </w:r>
    </w:p>
    <w:p w14:paraId="1D8C18D9">
      <w:pPr>
        <w:spacing w:before="134" w:after="134"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62AC5246">
      <w:pPr>
        <w:spacing w:before="134" w:line="240" w:lineRule="auto"/>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3EC0A07">
      <w:pPr>
        <w:jc w:val="both"/>
        <w:rPr>
          <w:rFonts w:ascii="Times New Roman" w:hAnsi="Times New Roman" w:cs="Times New Roman"/>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libri Light">
    <w:panose1 w:val="020F0302020204030204"/>
    <w:charset w:val="CC"/>
    <w:family w:val="swiss"/>
    <w:pitch w:val="default"/>
    <w:sig w:usb0="A00002EF" w:usb1="4000207B" w:usb2="00000000" w:usb3="00000000" w:csb0="2000019F" w:csb1="00000000"/>
  </w:font>
  <w:font w:name="Segoe UI">
    <w:panose1 w:val="020B0502040204020203"/>
    <w:charset w:val="00"/>
    <w:family w:val="swiss"/>
    <w:pitch w:val="default"/>
    <w:sig w:usb0="E10022FF" w:usb1="C000E47F" w:usb2="00000029" w:usb3="00000000" w:csb0="200001DF" w:csb1="20000000"/>
  </w:font>
  <w:font w:name="Calibri Light">
    <w:panose1 w:val="020F0302020204030204"/>
    <w:charset w:val="00"/>
    <w:family w:val="auto"/>
    <w:pitch w:val="default"/>
    <w:sig w:usb0="A00002EF" w:usb1="4000207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63"/>
    <w:rsid w:val="000712B1"/>
    <w:rsid w:val="00097D52"/>
    <w:rsid w:val="003245AD"/>
    <w:rsid w:val="004B72D6"/>
    <w:rsid w:val="0060641B"/>
    <w:rsid w:val="00847F47"/>
    <w:rsid w:val="0090746F"/>
    <w:rsid w:val="009D2FA8"/>
    <w:rsid w:val="009F5714"/>
    <w:rsid w:val="00AA1663"/>
    <w:rsid w:val="00C854DF"/>
    <w:rsid w:val="00DC0E29"/>
    <w:rsid w:val="00F211B5"/>
    <w:rsid w:val="167C18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2"/>
    <w:basedOn w:val="1"/>
    <w:next w:val="1"/>
    <w:link w:val="7"/>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6"/>
    <w:semiHidden/>
    <w:unhideWhenUsed/>
    <w:qFormat/>
    <w:uiPriority w:val="99"/>
    <w:pPr>
      <w:spacing w:after="0" w:line="240" w:lineRule="auto"/>
    </w:pPr>
    <w:rPr>
      <w:rFonts w:ascii="Segoe UI" w:hAnsi="Segoe UI" w:cs="Segoe UI"/>
      <w:sz w:val="18"/>
      <w:szCs w:val="18"/>
    </w:rPr>
  </w:style>
  <w:style w:type="character" w:customStyle="1" w:styleId="6">
    <w:name w:val="Текст выноски Знак"/>
    <w:basedOn w:val="3"/>
    <w:link w:val="5"/>
    <w:semiHidden/>
    <w:uiPriority w:val="99"/>
    <w:rPr>
      <w:rFonts w:ascii="Segoe UI" w:hAnsi="Segoe UI" w:cs="Segoe UI"/>
      <w:sz w:val="18"/>
      <w:szCs w:val="18"/>
    </w:rPr>
  </w:style>
  <w:style w:type="character" w:customStyle="1" w:styleId="7">
    <w:name w:val="Заголовок 2 Знак"/>
    <w:basedOn w:val="3"/>
    <w:link w:val="2"/>
    <w:qFormat/>
    <w:uiPriority w:val="9"/>
    <w:rPr>
      <w:rFonts w:asciiTheme="majorHAnsi" w:hAnsiTheme="majorHAnsi" w:eastAsiaTheme="majorEastAsia" w:cstheme="majorBidi"/>
      <w:color w:val="2E75B6" w:themeColor="accent1" w:themeShade="BF"/>
      <w:sz w:val="26"/>
      <w:szCs w:val="2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2314</Words>
  <Characters>13193</Characters>
  <Lines>109</Lines>
  <Paragraphs>30</Paragraphs>
  <TotalTime>1</TotalTime>
  <ScaleCrop>false</ScaleCrop>
  <LinksUpToDate>false</LinksUpToDate>
  <CharactersWithSpaces>15477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2023-05-19T09:35:00Z</dcterms:created>
  <dc:creator>ДОСААФ</dc:creator>
  <cp:lastModifiedBy>ДОСААФ</cp:lastModifiedBy>
  <cp:lastPrinted>2023-05-19T07:00:00Z</cp:lastPrinted>
  <dcterms:modified xsi:type="dcterms:W3CDTF">2026-05-28T10:45:21Z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C691CF7E3A754047A7700071B7220718_12</vt:lpwstr>
  </property>
</Properties>
</file>